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23719" w:rsidRDefault="00000000">
      <w:pPr>
        <w:pStyle w:val="BodyText"/>
        <w:ind w:left="3799"/>
        <w:rPr>
          <w:rFonts w:ascii="Times New Roman"/>
          <w:sz w:val="20"/>
        </w:rPr>
      </w:pPr>
      <w:r>
        <w:rPr>
          <w:rFonts w:ascii="Times New Roman"/>
          <w:noProof/>
          <w:sz w:val="20"/>
        </w:rPr>
        <w:drawing>
          <wp:inline distT="0" distB="0" distL="0" distR="0">
            <wp:extent cx="1074830" cy="1015746"/>
            <wp:effectExtent l="0" t="0" r="0" b="0"/>
            <wp:docPr id="1" name="Image 1" descr="File:Seal of the SADC.svg - Wikimedia Commo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File:Seal of the SADC.svg - Wikimedia Commons"/>
                    <pic:cNvPicPr/>
                  </pic:nvPicPr>
                  <pic:blipFill>
                    <a:blip r:embed="rId5" cstate="print"/>
                    <a:stretch>
                      <a:fillRect/>
                    </a:stretch>
                  </pic:blipFill>
                  <pic:spPr>
                    <a:xfrm>
                      <a:off x="0" y="0"/>
                      <a:ext cx="1074830" cy="1015746"/>
                    </a:xfrm>
                    <a:prstGeom prst="rect">
                      <a:avLst/>
                    </a:prstGeom>
                  </pic:spPr>
                </pic:pic>
              </a:graphicData>
            </a:graphic>
          </wp:inline>
        </w:drawing>
      </w:r>
    </w:p>
    <w:p w:rsidR="00C23719" w:rsidRDefault="00C23719">
      <w:pPr>
        <w:pStyle w:val="BodyText"/>
        <w:rPr>
          <w:rFonts w:ascii="Times New Roman"/>
        </w:rPr>
      </w:pPr>
    </w:p>
    <w:p w:rsidR="00C23719" w:rsidRDefault="00C23719">
      <w:pPr>
        <w:pStyle w:val="BodyText"/>
        <w:spacing w:before="17"/>
        <w:rPr>
          <w:rFonts w:ascii="Times New Roman"/>
        </w:rPr>
      </w:pPr>
    </w:p>
    <w:p w:rsidR="00C23719" w:rsidRDefault="00C23719" w:rsidP="000B60F2">
      <w:pPr>
        <w:pStyle w:val="BodyText"/>
        <w:jc w:val="both"/>
        <w:rPr>
          <w:b/>
        </w:rPr>
      </w:pPr>
    </w:p>
    <w:p w:rsidR="000D6633" w:rsidRPr="000D6633" w:rsidRDefault="00187B51" w:rsidP="000D6633">
      <w:pPr>
        <w:spacing w:after="160" w:line="259" w:lineRule="auto"/>
        <w:jc w:val="both"/>
        <w:rPr>
          <w:b/>
          <w:bCs/>
        </w:rPr>
      </w:pPr>
      <w:r>
        <w:rPr>
          <w:b/>
          <w:bCs/>
        </w:rPr>
        <w:t xml:space="preserve">PRESS RELEASE </w:t>
      </w:r>
      <w:r w:rsidR="000B60F2">
        <w:rPr>
          <w:b/>
          <w:bCs/>
        </w:rPr>
        <w:t>–</w:t>
      </w:r>
      <w:r>
        <w:rPr>
          <w:b/>
          <w:bCs/>
        </w:rPr>
        <w:t xml:space="preserve"> </w:t>
      </w:r>
      <w:r w:rsidR="000D6633" w:rsidRPr="000D6633">
        <w:rPr>
          <w:b/>
          <w:bCs/>
        </w:rPr>
        <w:t>SADC CONDEMNS RECENT ATTACKS ON THE SOUTHERN AFRICAN DEVELOPMENT COMMUNITY MISSION IN THE DEMOCRATIC REPUBLIC OF CONGO BY THE M23 ARMED GROUP</w:t>
      </w:r>
    </w:p>
    <w:p w:rsidR="000D6633" w:rsidRPr="000D6633" w:rsidRDefault="000D6633" w:rsidP="000D6633">
      <w:pPr>
        <w:spacing w:after="160" w:line="259" w:lineRule="auto"/>
        <w:jc w:val="both"/>
      </w:pPr>
      <w:r w:rsidRPr="000D6633">
        <w:t>The Southern African Development Community (SADC) has noted with concern the recent attack on the Southern African Development Community Mission in the Democratic Republic of Congo (SAMIDRC) from Wednesday, 22 January 2025, by the M23 armed group. </w:t>
      </w:r>
    </w:p>
    <w:p w:rsidR="000D6633" w:rsidRPr="000D6633" w:rsidRDefault="000D6633" w:rsidP="000D6633">
      <w:pPr>
        <w:spacing w:after="160" w:line="259" w:lineRule="auto"/>
        <w:jc w:val="both"/>
      </w:pPr>
      <w:r w:rsidRPr="000D6633">
        <w:t>SADC unequivocally condemns this act of aggression by the M23 operating in the Eastern DRC adding that such actions undermine the sovereignty, territorial integrity, and peace and security of the DRC and the SADC region. </w:t>
      </w:r>
    </w:p>
    <w:p w:rsidR="000D6633" w:rsidRPr="000D6633" w:rsidRDefault="000D6633" w:rsidP="000D6633">
      <w:pPr>
        <w:spacing w:after="160" w:line="259" w:lineRule="auto"/>
        <w:jc w:val="both"/>
      </w:pPr>
      <w:r w:rsidRPr="000D6633">
        <w:t>The pursuit of territorial expansion by M23 only exacerbates the already existing dire humanitarian and security situation in the Eastern DRC, which has left thousands of people dead and forced millions in North Kivu, particularly women, children, the elderly and persons with disabilities, to flee their homes. </w:t>
      </w:r>
    </w:p>
    <w:p w:rsidR="000D6633" w:rsidRPr="000D6633" w:rsidRDefault="000D6633" w:rsidP="000D6633">
      <w:pPr>
        <w:spacing w:after="160" w:line="259" w:lineRule="auto"/>
        <w:jc w:val="both"/>
      </w:pPr>
      <w:r w:rsidRPr="000D6633">
        <w:t>The rebel group M23 attacked the SAMIDRC in Goma to which SAMIDRC retaliated and successfully repelled the armed group. SADC commends the actions of the brave men and women from SAMIDRC who sacrificed their lives for the Region. </w:t>
      </w:r>
    </w:p>
    <w:p w:rsidR="000D6633" w:rsidRPr="000D6633" w:rsidRDefault="000D6633" w:rsidP="000D6633">
      <w:pPr>
        <w:spacing w:after="160" w:line="259" w:lineRule="auto"/>
        <w:jc w:val="both"/>
      </w:pPr>
      <w:r w:rsidRPr="000D6633">
        <w:t>The actions of the M23 armed group contravenes the Nairobi Peace Process and is a clear violation of the agreed Ceasefire brokered through the Luanda Process led by His Excellency João Manuel Gonçalves Lourenço, President of the Republic of Angola in his capacity as the African Union Champion for Peace and Reconciliation in Africa. We, therefore, call on all parties in the conflict to adhere to their obligations in the Ceasefire, calling for immediate cessation of hostilities and atrocities perpetrated by M23 as well as unconditional withdrawal from all occupied positions. </w:t>
      </w:r>
    </w:p>
    <w:p w:rsidR="000D6633" w:rsidRPr="000D6633" w:rsidRDefault="000D6633" w:rsidP="000D6633">
      <w:pPr>
        <w:spacing w:after="160" w:line="259" w:lineRule="auto"/>
        <w:jc w:val="both"/>
      </w:pPr>
      <w:r w:rsidRPr="000D6633">
        <w:t>SADC further encourages all parties to the conflict in Eastern DRC to comply with the terms and conditions of the existing peace agreements and engage through dialogue for everlasting peace, security and stability in the DRC and the Region.</w:t>
      </w:r>
    </w:p>
    <w:p w:rsidR="000D6633" w:rsidRPr="000D6633" w:rsidRDefault="000D6633" w:rsidP="000D6633">
      <w:pPr>
        <w:spacing w:after="160" w:line="259" w:lineRule="auto"/>
        <w:jc w:val="both"/>
      </w:pPr>
      <w:r w:rsidRPr="000D6633">
        <w:t>SADC reaffirms its unwavering commitment to continue supporting the DRC in its pursuit of safeguarding its independence, sovereignty, and territorial integrity, as well as sustainable peace, security, and development. To this end, the SAMIDRC will remain resolute in supporting efforts aimed at addressing the unstable and deteriorating security and humanitarian situation prevailing in the Eastern DRC. </w:t>
      </w:r>
    </w:p>
    <w:p w:rsidR="000D6633" w:rsidRDefault="000D6633" w:rsidP="000D6633">
      <w:pPr>
        <w:spacing w:after="160" w:line="259" w:lineRule="auto"/>
        <w:jc w:val="both"/>
      </w:pPr>
      <w:r w:rsidRPr="000D6633">
        <w:t>We call upon the international community, including the United Nations, to join us in denouncing these unlawful actions by the M23. SADC Region reiterates its solidarity with the people of the DRC and commends them for resilience against brutal actions perpetrated by the M23 and other armed</w:t>
      </w:r>
      <w:r>
        <w:t xml:space="preserve"> </w:t>
      </w:r>
      <w:r w:rsidRPr="000D6633">
        <w:t>groups.</w:t>
      </w:r>
      <w:r w:rsidRPr="000D6633">
        <w:br/>
      </w:r>
    </w:p>
    <w:p w:rsidR="000D6633" w:rsidRPr="000D6633" w:rsidRDefault="000D6633" w:rsidP="000D6633">
      <w:pPr>
        <w:spacing w:after="160" w:line="259" w:lineRule="auto"/>
        <w:jc w:val="both"/>
      </w:pPr>
      <w:r w:rsidRPr="000D6633">
        <w:t>SADC wishes those who were injured a speedy recovery and sends its heartfelt condolences to the countries and families of the deceased.</w:t>
      </w:r>
    </w:p>
    <w:p w:rsidR="000D6633" w:rsidRPr="000D6633" w:rsidRDefault="000D6633" w:rsidP="000D6633">
      <w:pPr>
        <w:spacing w:after="160" w:line="259" w:lineRule="auto"/>
        <w:jc w:val="both"/>
      </w:pPr>
      <w:r w:rsidRPr="000D6633">
        <w:rPr>
          <w:b/>
          <w:bCs/>
        </w:rPr>
        <w:t>ISSUED BY THE SADC SECRETARIAT             </w:t>
      </w:r>
    </w:p>
    <w:p w:rsidR="000D6633" w:rsidRPr="000B60F2" w:rsidRDefault="000D6633" w:rsidP="000D6633">
      <w:pPr>
        <w:spacing w:after="160" w:line="259" w:lineRule="auto"/>
        <w:jc w:val="both"/>
      </w:pPr>
    </w:p>
    <w:p w:rsidR="00C23719" w:rsidRDefault="00000000">
      <w:pPr>
        <w:ind w:left="118" w:right="7750"/>
        <w:rPr>
          <w:b/>
          <w:sz w:val="24"/>
        </w:rPr>
      </w:pPr>
      <w:r>
        <w:rPr>
          <w:b/>
          <w:spacing w:val="-4"/>
          <w:sz w:val="24"/>
        </w:rPr>
        <w:t>………</w:t>
      </w:r>
      <w:r>
        <w:rPr>
          <w:b/>
          <w:spacing w:val="40"/>
          <w:sz w:val="24"/>
        </w:rPr>
        <w:t xml:space="preserve"> </w:t>
      </w:r>
      <w:r>
        <w:rPr>
          <w:b/>
          <w:sz w:val="24"/>
        </w:rPr>
        <w:t>About</w:t>
      </w:r>
      <w:r>
        <w:rPr>
          <w:b/>
          <w:spacing w:val="-17"/>
          <w:sz w:val="24"/>
        </w:rPr>
        <w:t xml:space="preserve"> </w:t>
      </w:r>
      <w:r>
        <w:rPr>
          <w:b/>
          <w:sz w:val="24"/>
        </w:rPr>
        <w:t>SADC</w:t>
      </w:r>
    </w:p>
    <w:p w:rsidR="00C23719" w:rsidRDefault="00000000">
      <w:pPr>
        <w:ind w:left="118" w:right="113"/>
        <w:jc w:val="both"/>
        <w:rPr>
          <w:sz w:val="23"/>
        </w:rPr>
      </w:pPr>
      <w:r>
        <w:rPr>
          <w:sz w:val="23"/>
        </w:rPr>
        <w:lastRenderedPageBreak/>
        <w:t>SADC</w:t>
      </w:r>
      <w:r>
        <w:rPr>
          <w:spacing w:val="-13"/>
          <w:sz w:val="23"/>
        </w:rPr>
        <w:t xml:space="preserve"> </w:t>
      </w:r>
      <w:r>
        <w:rPr>
          <w:sz w:val="23"/>
        </w:rPr>
        <w:t>is</w:t>
      </w:r>
      <w:r>
        <w:rPr>
          <w:spacing w:val="-12"/>
          <w:sz w:val="23"/>
        </w:rPr>
        <w:t xml:space="preserve"> </w:t>
      </w:r>
      <w:r>
        <w:rPr>
          <w:sz w:val="23"/>
        </w:rPr>
        <w:t>an</w:t>
      </w:r>
      <w:r>
        <w:rPr>
          <w:spacing w:val="-13"/>
          <w:sz w:val="23"/>
        </w:rPr>
        <w:t xml:space="preserve"> </w:t>
      </w:r>
      <w:r>
        <w:rPr>
          <w:sz w:val="23"/>
        </w:rPr>
        <w:t>organisation</w:t>
      </w:r>
      <w:r>
        <w:rPr>
          <w:spacing w:val="-13"/>
          <w:sz w:val="23"/>
        </w:rPr>
        <w:t xml:space="preserve"> </w:t>
      </w:r>
      <w:r>
        <w:rPr>
          <w:sz w:val="23"/>
        </w:rPr>
        <w:t>of</w:t>
      </w:r>
      <w:r>
        <w:rPr>
          <w:spacing w:val="-12"/>
          <w:sz w:val="23"/>
        </w:rPr>
        <w:t xml:space="preserve"> </w:t>
      </w:r>
      <w:r>
        <w:rPr>
          <w:sz w:val="23"/>
        </w:rPr>
        <w:t>16</w:t>
      </w:r>
      <w:r>
        <w:rPr>
          <w:spacing w:val="-13"/>
          <w:sz w:val="23"/>
        </w:rPr>
        <w:t xml:space="preserve"> </w:t>
      </w:r>
      <w:r>
        <w:rPr>
          <w:sz w:val="23"/>
        </w:rPr>
        <w:t>Member</w:t>
      </w:r>
      <w:r>
        <w:rPr>
          <w:spacing w:val="-14"/>
          <w:sz w:val="23"/>
        </w:rPr>
        <w:t xml:space="preserve"> </w:t>
      </w:r>
      <w:r>
        <w:rPr>
          <w:sz w:val="23"/>
        </w:rPr>
        <w:t>States</w:t>
      </w:r>
      <w:r>
        <w:rPr>
          <w:spacing w:val="-15"/>
          <w:sz w:val="23"/>
        </w:rPr>
        <w:t xml:space="preserve"> </w:t>
      </w:r>
      <w:r>
        <w:rPr>
          <w:sz w:val="23"/>
        </w:rPr>
        <w:t>established</w:t>
      </w:r>
      <w:r>
        <w:rPr>
          <w:spacing w:val="-13"/>
          <w:sz w:val="23"/>
        </w:rPr>
        <w:t xml:space="preserve"> </w:t>
      </w:r>
      <w:r>
        <w:rPr>
          <w:sz w:val="23"/>
        </w:rPr>
        <w:t>in</w:t>
      </w:r>
      <w:r>
        <w:rPr>
          <w:spacing w:val="-13"/>
          <w:sz w:val="23"/>
        </w:rPr>
        <w:t xml:space="preserve"> </w:t>
      </w:r>
      <w:r>
        <w:rPr>
          <w:sz w:val="23"/>
        </w:rPr>
        <w:t>1980</w:t>
      </w:r>
      <w:r>
        <w:rPr>
          <w:spacing w:val="-13"/>
          <w:sz w:val="23"/>
        </w:rPr>
        <w:t xml:space="preserve"> </w:t>
      </w:r>
      <w:r>
        <w:rPr>
          <w:sz w:val="23"/>
        </w:rPr>
        <w:t>as</w:t>
      </w:r>
      <w:r>
        <w:rPr>
          <w:spacing w:val="-12"/>
          <w:sz w:val="23"/>
        </w:rPr>
        <w:t xml:space="preserve"> </w:t>
      </w:r>
      <w:r>
        <w:rPr>
          <w:sz w:val="23"/>
        </w:rPr>
        <w:t>the</w:t>
      </w:r>
      <w:r>
        <w:rPr>
          <w:spacing w:val="-13"/>
          <w:sz w:val="23"/>
        </w:rPr>
        <w:t xml:space="preserve"> </w:t>
      </w:r>
      <w:r>
        <w:rPr>
          <w:sz w:val="23"/>
        </w:rPr>
        <w:t>Southern</w:t>
      </w:r>
      <w:r>
        <w:rPr>
          <w:spacing w:val="-13"/>
          <w:sz w:val="23"/>
        </w:rPr>
        <w:t xml:space="preserve"> </w:t>
      </w:r>
      <w:r>
        <w:rPr>
          <w:sz w:val="23"/>
        </w:rPr>
        <w:t>African Development Coordinating Conference (SADCC) and later, in August,1992 transformed into the Southern African Development Community (SADC). The mission of SADC is to promote sustainable and equitable economic growth and socio-economic development through efficient, productive systems, deeper cooperation and integration, good governance</w:t>
      </w:r>
      <w:r>
        <w:rPr>
          <w:spacing w:val="-3"/>
          <w:sz w:val="23"/>
        </w:rPr>
        <w:t xml:space="preserve"> </w:t>
      </w:r>
      <w:r>
        <w:rPr>
          <w:sz w:val="23"/>
        </w:rPr>
        <w:t>and</w:t>
      </w:r>
      <w:r>
        <w:rPr>
          <w:spacing w:val="-3"/>
          <w:sz w:val="23"/>
        </w:rPr>
        <w:t xml:space="preserve"> </w:t>
      </w:r>
      <w:r>
        <w:rPr>
          <w:sz w:val="23"/>
        </w:rPr>
        <w:t>durable</w:t>
      </w:r>
      <w:r>
        <w:rPr>
          <w:spacing w:val="-3"/>
          <w:sz w:val="23"/>
        </w:rPr>
        <w:t xml:space="preserve"> </w:t>
      </w:r>
      <w:r>
        <w:rPr>
          <w:sz w:val="23"/>
        </w:rPr>
        <w:t>peace and</w:t>
      </w:r>
      <w:r>
        <w:rPr>
          <w:spacing w:val="-3"/>
          <w:sz w:val="23"/>
        </w:rPr>
        <w:t xml:space="preserve"> </w:t>
      </w:r>
      <w:r>
        <w:rPr>
          <w:sz w:val="23"/>
        </w:rPr>
        <w:t>security;</w:t>
      </w:r>
      <w:r>
        <w:rPr>
          <w:spacing w:val="-1"/>
          <w:sz w:val="23"/>
        </w:rPr>
        <w:t xml:space="preserve"> </w:t>
      </w:r>
      <w:r>
        <w:rPr>
          <w:sz w:val="23"/>
        </w:rPr>
        <w:t>so</w:t>
      </w:r>
      <w:r>
        <w:rPr>
          <w:spacing w:val="-3"/>
          <w:sz w:val="23"/>
        </w:rPr>
        <w:t xml:space="preserve"> </w:t>
      </w:r>
      <w:r>
        <w:rPr>
          <w:sz w:val="23"/>
        </w:rPr>
        <w:t>that</w:t>
      </w:r>
      <w:r>
        <w:rPr>
          <w:spacing w:val="-1"/>
          <w:sz w:val="23"/>
        </w:rPr>
        <w:t xml:space="preserve"> </w:t>
      </w:r>
      <w:r>
        <w:rPr>
          <w:sz w:val="23"/>
        </w:rPr>
        <w:t>the</w:t>
      </w:r>
      <w:r>
        <w:rPr>
          <w:spacing w:val="-3"/>
          <w:sz w:val="23"/>
        </w:rPr>
        <w:t xml:space="preserve"> </w:t>
      </w:r>
      <w:r>
        <w:rPr>
          <w:sz w:val="23"/>
        </w:rPr>
        <w:t>region emerges</w:t>
      </w:r>
      <w:r>
        <w:rPr>
          <w:spacing w:val="-2"/>
          <w:sz w:val="23"/>
        </w:rPr>
        <w:t xml:space="preserve"> </w:t>
      </w:r>
      <w:r>
        <w:rPr>
          <w:sz w:val="23"/>
        </w:rPr>
        <w:t>as</w:t>
      </w:r>
      <w:r>
        <w:rPr>
          <w:spacing w:val="-2"/>
          <w:sz w:val="23"/>
        </w:rPr>
        <w:t xml:space="preserve"> </w:t>
      </w:r>
      <w:r>
        <w:rPr>
          <w:sz w:val="23"/>
        </w:rPr>
        <w:t>a</w:t>
      </w:r>
      <w:r>
        <w:rPr>
          <w:spacing w:val="-3"/>
          <w:sz w:val="23"/>
        </w:rPr>
        <w:t xml:space="preserve"> </w:t>
      </w:r>
      <w:r>
        <w:rPr>
          <w:sz w:val="23"/>
        </w:rPr>
        <w:t>competitive and effective player in international relations and the world economy. Member States are Angola,</w:t>
      </w:r>
      <w:r>
        <w:rPr>
          <w:spacing w:val="-4"/>
          <w:sz w:val="23"/>
        </w:rPr>
        <w:t xml:space="preserve"> </w:t>
      </w:r>
      <w:r>
        <w:rPr>
          <w:sz w:val="23"/>
        </w:rPr>
        <w:t>Botswana,</w:t>
      </w:r>
      <w:r>
        <w:rPr>
          <w:spacing w:val="-4"/>
          <w:sz w:val="23"/>
        </w:rPr>
        <w:t xml:space="preserve"> </w:t>
      </w:r>
      <w:r>
        <w:rPr>
          <w:sz w:val="23"/>
        </w:rPr>
        <w:t>Union</w:t>
      </w:r>
      <w:r>
        <w:rPr>
          <w:spacing w:val="-6"/>
          <w:sz w:val="23"/>
        </w:rPr>
        <w:t xml:space="preserve"> </w:t>
      </w:r>
      <w:r>
        <w:rPr>
          <w:sz w:val="23"/>
        </w:rPr>
        <w:t>of</w:t>
      </w:r>
      <w:r>
        <w:rPr>
          <w:spacing w:val="-4"/>
          <w:sz w:val="23"/>
        </w:rPr>
        <w:t xml:space="preserve"> </w:t>
      </w:r>
      <w:r>
        <w:rPr>
          <w:sz w:val="23"/>
        </w:rPr>
        <w:t>Comoros,</w:t>
      </w:r>
      <w:r>
        <w:rPr>
          <w:spacing w:val="-4"/>
          <w:sz w:val="23"/>
        </w:rPr>
        <w:t xml:space="preserve"> </w:t>
      </w:r>
      <w:r>
        <w:rPr>
          <w:sz w:val="23"/>
        </w:rPr>
        <w:t>Democratic</w:t>
      </w:r>
      <w:r>
        <w:rPr>
          <w:spacing w:val="-5"/>
          <w:sz w:val="23"/>
        </w:rPr>
        <w:t xml:space="preserve"> </w:t>
      </w:r>
      <w:r>
        <w:rPr>
          <w:sz w:val="23"/>
        </w:rPr>
        <w:t>Republic</w:t>
      </w:r>
      <w:r>
        <w:rPr>
          <w:spacing w:val="-5"/>
          <w:sz w:val="23"/>
        </w:rPr>
        <w:t xml:space="preserve"> </w:t>
      </w:r>
      <w:r>
        <w:rPr>
          <w:sz w:val="23"/>
        </w:rPr>
        <w:t>of</w:t>
      </w:r>
      <w:r>
        <w:rPr>
          <w:spacing w:val="-4"/>
          <w:sz w:val="23"/>
        </w:rPr>
        <w:t xml:space="preserve"> </w:t>
      </w:r>
      <w:r>
        <w:rPr>
          <w:sz w:val="23"/>
        </w:rPr>
        <w:t>Congo,</w:t>
      </w:r>
      <w:r>
        <w:rPr>
          <w:spacing w:val="-4"/>
          <w:sz w:val="23"/>
        </w:rPr>
        <w:t xml:space="preserve"> </w:t>
      </w:r>
      <w:r>
        <w:rPr>
          <w:sz w:val="23"/>
        </w:rPr>
        <w:t>Eswatini,</w:t>
      </w:r>
      <w:r>
        <w:rPr>
          <w:spacing w:val="-4"/>
          <w:sz w:val="23"/>
        </w:rPr>
        <w:t xml:space="preserve"> </w:t>
      </w:r>
      <w:r>
        <w:rPr>
          <w:sz w:val="23"/>
        </w:rPr>
        <w:t>Lesotho, Madagascar, Malawi, Mauritius, Mozambique, Namibia, Seychelles, South Africa, United Republic of Tanzania, Zambia and Zimbabwe.</w:t>
      </w:r>
    </w:p>
    <w:p w:rsidR="00C23719" w:rsidRDefault="00C23719">
      <w:pPr>
        <w:pStyle w:val="BodyText"/>
        <w:spacing w:before="12"/>
        <w:rPr>
          <w:sz w:val="23"/>
        </w:rPr>
      </w:pPr>
    </w:p>
    <w:p w:rsidR="00C23719" w:rsidRDefault="00000000">
      <w:pPr>
        <w:ind w:left="118" w:right="2863"/>
        <w:rPr>
          <w:b/>
          <w:sz w:val="24"/>
        </w:rPr>
      </w:pPr>
      <w:r>
        <w:rPr>
          <w:b/>
          <w:sz w:val="24"/>
        </w:rPr>
        <w:t>Issued</w:t>
      </w:r>
      <w:r>
        <w:rPr>
          <w:b/>
          <w:spacing w:val="-6"/>
          <w:sz w:val="24"/>
        </w:rPr>
        <w:t xml:space="preserve"> </w:t>
      </w:r>
      <w:r>
        <w:rPr>
          <w:b/>
          <w:sz w:val="24"/>
        </w:rPr>
        <w:t>by</w:t>
      </w:r>
      <w:r>
        <w:rPr>
          <w:b/>
          <w:spacing w:val="-6"/>
          <w:sz w:val="24"/>
        </w:rPr>
        <w:t xml:space="preserve"> </w:t>
      </w:r>
      <w:r>
        <w:rPr>
          <w:b/>
          <w:sz w:val="24"/>
        </w:rPr>
        <w:t>the</w:t>
      </w:r>
      <w:r>
        <w:rPr>
          <w:b/>
          <w:spacing w:val="-6"/>
          <w:sz w:val="24"/>
        </w:rPr>
        <w:t xml:space="preserve"> </w:t>
      </w:r>
      <w:r>
        <w:rPr>
          <w:b/>
          <w:sz w:val="24"/>
        </w:rPr>
        <w:t>SADC</w:t>
      </w:r>
      <w:r>
        <w:rPr>
          <w:b/>
          <w:spacing w:val="-8"/>
          <w:sz w:val="24"/>
        </w:rPr>
        <w:t xml:space="preserve"> </w:t>
      </w:r>
      <w:r>
        <w:rPr>
          <w:b/>
          <w:sz w:val="24"/>
        </w:rPr>
        <w:t>Secretariat,</w:t>
      </w:r>
      <w:r>
        <w:rPr>
          <w:b/>
          <w:spacing w:val="-8"/>
          <w:sz w:val="24"/>
        </w:rPr>
        <w:t xml:space="preserve"> </w:t>
      </w:r>
      <w:r>
        <w:rPr>
          <w:b/>
          <w:sz w:val="24"/>
        </w:rPr>
        <w:t>Gaborone,</w:t>
      </w:r>
      <w:r>
        <w:rPr>
          <w:b/>
          <w:spacing w:val="-6"/>
          <w:sz w:val="24"/>
        </w:rPr>
        <w:t xml:space="preserve"> </w:t>
      </w:r>
      <w:r>
        <w:rPr>
          <w:b/>
          <w:sz w:val="24"/>
        </w:rPr>
        <w:t xml:space="preserve">Botswana </w:t>
      </w:r>
      <w:r w:rsidR="000D6633">
        <w:rPr>
          <w:b/>
          <w:sz w:val="24"/>
        </w:rPr>
        <w:t>25</w:t>
      </w:r>
      <w:r>
        <w:rPr>
          <w:b/>
          <w:sz w:val="24"/>
        </w:rPr>
        <w:t xml:space="preserve"> </w:t>
      </w:r>
      <w:r w:rsidR="00E1542F">
        <w:rPr>
          <w:b/>
          <w:sz w:val="24"/>
        </w:rPr>
        <w:t xml:space="preserve">January </w:t>
      </w:r>
      <w:r>
        <w:rPr>
          <w:b/>
          <w:sz w:val="24"/>
        </w:rPr>
        <w:t>202</w:t>
      </w:r>
      <w:r w:rsidR="00E1542F">
        <w:rPr>
          <w:b/>
          <w:sz w:val="24"/>
        </w:rPr>
        <w:t>5</w:t>
      </w:r>
    </w:p>
    <w:sectPr w:rsidR="00C23719">
      <w:pgSz w:w="11910" w:h="16840"/>
      <w:pgMar w:top="4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805FA1"/>
    <w:multiLevelType w:val="multilevel"/>
    <w:tmpl w:val="BFD4B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5806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719"/>
    <w:rsid w:val="000B60F2"/>
    <w:rsid w:val="000D6633"/>
    <w:rsid w:val="00187B51"/>
    <w:rsid w:val="0028407F"/>
    <w:rsid w:val="00685594"/>
    <w:rsid w:val="00751223"/>
    <w:rsid w:val="00782994"/>
    <w:rsid w:val="00C23719"/>
    <w:rsid w:val="00DD48FF"/>
    <w:rsid w:val="00E1542F"/>
    <w:rsid w:val="00ED3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E8FF"/>
  <w15:docId w15:val="{269EB3D9-1B85-41EB-9EED-A0514ABAC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0B60F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0B60F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964512">
      <w:bodyDiv w:val="1"/>
      <w:marLeft w:val="0"/>
      <w:marRight w:val="0"/>
      <w:marTop w:val="0"/>
      <w:marBottom w:val="0"/>
      <w:divBdr>
        <w:top w:val="none" w:sz="0" w:space="0" w:color="auto"/>
        <w:left w:val="none" w:sz="0" w:space="0" w:color="auto"/>
        <w:bottom w:val="none" w:sz="0" w:space="0" w:color="auto"/>
        <w:right w:val="none" w:sz="0" w:space="0" w:color="auto"/>
      </w:divBdr>
    </w:div>
    <w:div w:id="1075203440">
      <w:bodyDiv w:val="1"/>
      <w:marLeft w:val="0"/>
      <w:marRight w:val="0"/>
      <w:marTop w:val="0"/>
      <w:marBottom w:val="0"/>
      <w:divBdr>
        <w:top w:val="none" w:sz="0" w:space="0" w:color="auto"/>
        <w:left w:val="none" w:sz="0" w:space="0" w:color="auto"/>
        <w:bottom w:val="none" w:sz="0" w:space="0" w:color="auto"/>
        <w:right w:val="none" w:sz="0" w:space="0" w:color="auto"/>
      </w:divBdr>
    </w:div>
    <w:div w:id="1108543839">
      <w:bodyDiv w:val="1"/>
      <w:marLeft w:val="0"/>
      <w:marRight w:val="0"/>
      <w:marTop w:val="0"/>
      <w:marBottom w:val="0"/>
      <w:divBdr>
        <w:top w:val="none" w:sz="0" w:space="0" w:color="auto"/>
        <w:left w:val="none" w:sz="0" w:space="0" w:color="auto"/>
        <w:bottom w:val="none" w:sz="0" w:space="0" w:color="auto"/>
        <w:right w:val="none" w:sz="0" w:space="0" w:color="auto"/>
      </w:divBdr>
    </w:div>
    <w:div w:id="1553007097">
      <w:bodyDiv w:val="1"/>
      <w:marLeft w:val="0"/>
      <w:marRight w:val="0"/>
      <w:marTop w:val="0"/>
      <w:marBottom w:val="0"/>
      <w:divBdr>
        <w:top w:val="none" w:sz="0" w:space="0" w:color="auto"/>
        <w:left w:val="none" w:sz="0" w:space="0" w:color="auto"/>
        <w:bottom w:val="none" w:sz="0" w:space="0" w:color="auto"/>
        <w:right w:val="none" w:sz="0" w:space="0" w:color="auto"/>
      </w:divBdr>
    </w:div>
    <w:div w:id="1695615836">
      <w:bodyDiv w:val="1"/>
      <w:marLeft w:val="0"/>
      <w:marRight w:val="0"/>
      <w:marTop w:val="0"/>
      <w:marBottom w:val="0"/>
      <w:divBdr>
        <w:top w:val="none" w:sz="0" w:space="0" w:color="auto"/>
        <w:left w:val="none" w:sz="0" w:space="0" w:color="auto"/>
        <w:bottom w:val="none" w:sz="0" w:space="0" w:color="auto"/>
        <w:right w:val="none" w:sz="0" w:space="0" w:color="auto"/>
      </w:divBdr>
    </w:div>
    <w:div w:id="1732188437">
      <w:bodyDiv w:val="1"/>
      <w:marLeft w:val="0"/>
      <w:marRight w:val="0"/>
      <w:marTop w:val="0"/>
      <w:marBottom w:val="0"/>
      <w:divBdr>
        <w:top w:val="none" w:sz="0" w:space="0" w:color="auto"/>
        <w:left w:val="none" w:sz="0" w:space="0" w:color="auto"/>
        <w:bottom w:val="none" w:sz="0" w:space="0" w:color="auto"/>
        <w:right w:val="none" w:sz="0" w:space="0" w:color="auto"/>
      </w:divBdr>
    </w:div>
    <w:div w:id="1969968838">
      <w:bodyDiv w:val="1"/>
      <w:marLeft w:val="0"/>
      <w:marRight w:val="0"/>
      <w:marTop w:val="0"/>
      <w:marBottom w:val="0"/>
      <w:divBdr>
        <w:top w:val="none" w:sz="0" w:space="0" w:color="auto"/>
        <w:left w:val="none" w:sz="0" w:space="0" w:color="auto"/>
        <w:bottom w:val="none" w:sz="0" w:space="0" w:color="auto"/>
        <w:right w:val="none" w:sz="0" w:space="0" w:color="auto"/>
      </w:divBdr>
      <w:divsChild>
        <w:div w:id="971442191">
          <w:marLeft w:val="0"/>
          <w:marRight w:val="0"/>
          <w:marTop w:val="0"/>
          <w:marBottom w:val="0"/>
          <w:divBdr>
            <w:top w:val="none" w:sz="0" w:space="0" w:color="auto"/>
            <w:left w:val="none" w:sz="0" w:space="0" w:color="auto"/>
            <w:bottom w:val="none" w:sz="0" w:space="0" w:color="auto"/>
            <w:right w:val="none" w:sz="0" w:space="0" w:color="auto"/>
          </w:divBdr>
          <w:divsChild>
            <w:div w:id="665010148">
              <w:marLeft w:val="0"/>
              <w:marRight w:val="0"/>
              <w:marTop w:val="0"/>
              <w:marBottom w:val="0"/>
              <w:divBdr>
                <w:top w:val="none" w:sz="0" w:space="0" w:color="auto"/>
                <w:left w:val="none" w:sz="0" w:space="0" w:color="auto"/>
                <w:bottom w:val="none" w:sz="0" w:space="0" w:color="auto"/>
                <w:right w:val="none" w:sz="0" w:space="0" w:color="auto"/>
              </w:divBdr>
              <w:divsChild>
                <w:div w:id="1155487774">
                  <w:marLeft w:val="0"/>
                  <w:marRight w:val="0"/>
                  <w:marTop w:val="0"/>
                  <w:marBottom w:val="0"/>
                  <w:divBdr>
                    <w:top w:val="none" w:sz="0" w:space="0" w:color="auto"/>
                    <w:left w:val="none" w:sz="0" w:space="0" w:color="auto"/>
                    <w:bottom w:val="none" w:sz="0" w:space="0" w:color="auto"/>
                    <w:right w:val="none" w:sz="0" w:space="0" w:color="auto"/>
                  </w:divBdr>
                  <w:divsChild>
                    <w:div w:id="147109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216139">
          <w:marLeft w:val="0"/>
          <w:marRight w:val="0"/>
          <w:marTop w:val="0"/>
          <w:marBottom w:val="0"/>
          <w:divBdr>
            <w:top w:val="none" w:sz="0" w:space="0" w:color="auto"/>
            <w:left w:val="none" w:sz="0" w:space="0" w:color="auto"/>
            <w:bottom w:val="none" w:sz="0" w:space="0" w:color="auto"/>
            <w:right w:val="none" w:sz="0" w:space="0" w:color="auto"/>
          </w:divBdr>
          <w:divsChild>
            <w:div w:id="1342512895">
              <w:marLeft w:val="0"/>
              <w:marRight w:val="0"/>
              <w:marTop w:val="0"/>
              <w:marBottom w:val="0"/>
              <w:divBdr>
                <w:top w:val="none" w:sz="0" w:space="0" w:color="auto"/>
                <w:left w:val="none" w:sz="0" w:space="0" w:color="auto"/>
                <w:bottom w:val="none" w:sz="0" w:space="0" w:color="auto"/>
                <w:right w:val="none" w:sz="0" w:space="0" w:color="auto"/>
              </w:divBdr>
              <w:divsChild>
                <w:div w:id="213335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76264">
      <w:bodyDiv w:val="1"/>
      <w:marLeft w:val="0"/>
      <w:marRight w:val="0"/>
      <w:marTop w:val="0"/>
      <w:marBottom w:val="0"/>
      <w:divBdr>
        <w:top w:val="none" w:sz="0" w:space="0" w:color="auto"/>
        <w:left w:val="none" w:sz="0" w:space="0" w:color="auto"/>
        <w:bottom w:val="none" w:sz="0" w:space="0" w:color="auto"/>
        <w:right w:val="none" w:sz="0" w:space="0" w:color="auto"/>
      </w:divBdr>
      <w:divsChild>
        <w:div w:id="365562225">
          <w:marLeft w:val="0"/>
          <w:marRight w:val="0"/>
          <w:marTop w:val="0"/>
          <w:marBottom w:val="0"/>
          <w:divBdr>
            <w:top w:val="none" w:sz="0" w:space="0" w:color="auto"/>
            <w:left w:val="none" w:sz="0" w:space="0" w:color="auto"/>
            <w:bottom w:val="none" w:sz="0" w:space="0" w:color="auto"/>
            <w:right w:val="none" w:sz="0" w:space="0" w:color="auto"/>
          </w:divBdr>
          <w:divsChild>
            <w:div w:id="1095902004">
              <w:marLeft w:val="0"/>
              <w:marRight w:val="0"/>
              <w:marTop w:val="0"/>
              <w:marBottom w:val="0"/>
              <w:divBdr>
                <w:top w:val="none" w:sz="0" w:space="0" w:color="auto"/>
                <w:left w:val="none" w:sz="0" w:space="0" w:color="auto"/>
                <w:bottom w:val="none" w:sz="0" w:space="0" w:color="auto"/>
                <w:right w:val="none" w:sz="0" w:space="0" w:color="auto"/>
              </w:divBdr>
              <w:divsChild>
                <w:div w:id="1406412901">
                  <w:marLeft w:val="0"/>
                  <w:marRight w:val="0"/>
                  <w:marTop w:val="0"/>
                  <w:marBottom w:val="0"/>
                  <w:divBdr>
                    <w:top w:val="none" w:sz="0" w:space="0" w:color="auto"/>
                    <w:left w:val="none" w:sz="0" w:space="0" w:color="auto"/>
                    <w:bottom w:val="none" w:sz="0" w:space="0" w:color="auto"/>
                    <w:right w:val="none" w:sz="0" w:space="0" w:color="auto"/>
                  </w:divBdr>
                  <w:divsChild>
                    <w:div w:id="60708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5470">
          <w:marLeft w:val="0"/>
          <w:marRight w:val="0"/>
          <w:marTop w:val="0"/>
          <w:marBottom w:val="0"/>
          <w:divBdr>
            <w:top w:val="none" w:sz="0" w:space="0" w:color="auto"/>
            <w:left w:val="none" w:sz="0" w:space="0" w:color="auto"/>
            <w:bottom w:val="none" w:sz="0" w:space="0" w:color="auto"/>
            <w:right w:val="none" w:sz="0" w:space="0" w:color="auto"/>
          </w:divBdr>
          <w:divsChild>
            <w:div w:id="997071779">
              <w:marLeft w:val="0"/>
              <w:marRight w:val="0"/>
              <w:marTop w:val="0"/>
              <w:marBottom w:val="0"/>
              <w:divBdr>
                <w:top w:val="none" w:sz="0" w:space="0" w:color="auto"/>
                <w:left w:val="none" w:sz="0" w:space="0" w:color="auto"/>
                <w:bottom w:val="none" w:sz="0" w:space="0" w:color="auto"/>
                <w:right w:val="none" w:sz="0" w:space="0" w:color="auto"/>
              </w:divBdr>
              <w:divsChild>
                <w:div w:id="272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562</Words>
  <Characters>3209</Characters>
  <Application>Microsoft Office Word</Application>
  <DocSecurity>0</DocSecurity>
  <Lines>26</Lines>
  <Paragraphs>7</Paragraphs>
  <ScaleCrop>false</ScaleCrop>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Lopi</dc:creator>
  <cp:lastModifiedBy>Clarkson  Mambo</cp:lastModifiedBy>
  <cp:revision>5</cp:revision>
  <dcterms:created xsi:type="dcterms:W3CDTF">2025-01-09T14:08:00Z</dcterms:created>
  <dcterms:modified xsi:type="dcterms:W3CDTF">2025-01-27T07:33:00Z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2024-12-09T00:00:00Z</vt:filetime>
  </property>
  <property fmtid="{D5CDD505-2E9C-101B-9397-08002B2CF9AE}" pid="3" name="Creator">
    <vt:lpwstr>Microsoft® Word for Microsoft 365</vt:lpwstr>
  </property>
  <property fmtid="{D5CDD505-2E9C-101B-9397-08002B2CF9AE}" pid="4" name="LastSaved">
    <vt:filetime>2024-12-10T00:00:00Z</vt:filetime>
  </property>
  <property fmtid="{D5CDD505-2E9C-101B-9397-08002B2CF9AE}" pid="5" name="MSIP_Label_70d91555-27bb-46d2-9299-bbdc28766cf5_Enabled">
    <vt:lpwstr>True</vt:lpwstr>
  </property>
  <property fmtid="{D5CDD505-2E9C-101B-9397-08002B2CF9AE}" pid="6" name="MSIP_Label_70d91555-27bb-46d2-9299-bbdc28766cf5_Method">
    <vt:lpwstr>Privileged</vt:lpwstr>
  </property>
  <property fmtid="{D5CDD505-2E9C-101B-9397-08002B2CF9AE}" pid="7" name="MSIP_Label_70d91555-27bb-46d2-9299-bbdc28766cf5_SiteId">
    <vt:lpwstr>49d00196-dd46-45ae-a2e6-912969fa3ac8</vt:lpwstr>
  </property>
  <property fmtid="{D5CDD505-2E9C-101B-9397-08002B2CF9AE}" pid="8" name="Producer">
    <vt:lpwstr>Microsoft® Word for Microsoft 365</vt:lpwstr>
  </property>
</Properties>
</file>